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91F" w:rsidRPr="00D8676E" w:rsidRDefault="0031091F" w:rsidP="0031091F">
      <w:pPr>
        <w:pStyle w:val="Maintextblack"/>
        <w:spacing w:after="0" w:line="276" w:lineRule="auto"/>
        <w:jc w:val="both"/>
        <w:rPr>
          <w:rStyle w:val="Boldtextblack"/>
          <w:sz w:val="24"/>
          <w:szCs w:val="24"/>
        </w:rPr>
      </w:pPr>
      <w:bookmarkStart w:id="0" w:name="_GoBack"/>
      <w:bookmarkEnd w:id="0"/>
      <w:r w:rsidRPr="00D8676E">
        <w:rPr>
          <w:rStyle w:val="Boldtextblack"/>
          <w:sz w:val="24"/>
          <w:szCs w:val="24"/>
        </w:rPr>
        <w:t>ADDENDUM</w:t>
      </w:r>
    </w:p>
    <w:p w:rsidR="0031091F" w:rsidRPr="00D8676E" w:rsidRDefault="0031091F" w:rsidP="0031091F">
      <w:pPr>
        <w:pStyle w:val="Maintextblack"/>
        <w:spacing w:after="0" w:line="276" w:lineRule="auto"/>
        <w:jc w:val="both"/>
        <w:rPr>
          <w:rStyle w:val="Boldtextblack"/>
          <w:sz w:val="24"/>
          <w:szCs w:val="24"/>
        </w:rPr>
      </w:pPr>
      <w:r w:rsidRPr="00D8676E">
        <w:rPr>
          <w:rStyle w:val="Boldtextblack"/>
          <w:sz w:val="24"/>
          <w:szCs w:val="24"/>
        </w:rPr>
        <w:t xml:space="preserve">Update to the preliminary flood risk assessment report for </w:t>
      </w:r>
      <w:proofErr w:type="gramStart"/>
      <w:r>
        <w:rPr>
          <w:rStyle w:val="Boldtextblack"/>
          <w:sz w:val="24"/>
          <w:szCs w:val="24"/>
        </w:rPr>
        <w:t>Neath</w:t>
      </w:r>
      <w:proofErr w:type="gramEnd"/>
      <w:r>
        <w:rPr>
          <w:rStyle w:val="Boldtextblack"/>
          <w:sz w:val="24"/>
          <w:szCs w:val="24"/>
        </w:rPr>
        <w:t xml:space="preserve"> and Port Talbot County Borough Council</w:t>
      </w:r>
    </w:p>
    <w:p w:rsidR="0031091F" w:rsidRPr="00D8676E" w:rsidRDefault="0031091F" w:rsidP="0031091F">
      <w:pPr>
        <w:pStyle w:val="Maintextblack"/>
        <w:spacing w:after="0" w:line="276" w:lineRule="auto"/>
        <w:jc w:val="both"/>
        <w:rPr>
          <w:sz w:val="24"/>
          <w:szCs w:val="24"/>
        </w:rPr>
      </w:pPr>
    </w:p>
    <w:p w:rsidR="0031091F" w:rsidRPr="00D8676E" w:rsidRDefault="0031091F" w:rsidP="0031091F">
      <w:pPr>
        <w:pStyle w:val="Maintextblack"/>
        <w:spacing w:after="0" w:line="276" w:lineRule="auto"/>
        <w:jc w:val="both"/>
        <w:rPr>
          <w:sz w:val="24"/>
          <w:szCs w:val="24"/>
        </w:rPr>
      </w:pPr>
      <w:r w:rsidRPr="00D8676E">
        <w:rPr>
          <w:sz w:val="24"/>
          <w:szCs w:val="24"/>
        </w:rPr>
        <w:t xml:space="preserve">The preliminary flood risk assessment (PFRA) for </w:t>
      </w:r>
      <w:r>
        <w:rPr>
          <w:sz w:val="24"/>
          <w:szCs w:val="24"/>
        </w:rPr>
        <w:t>Neath and Port Talbot County Borough Council</w:t>
      </w:r>
      <w:r w:rsidRPr="00D8676E">
        <w:rPr>
          <w:sz w:val="24"/>
          <w:szCs w:val="24"/>
        </w:rPr>
        <w:t xml:space="preserve"> w</w:t>
      </w:r>
      <w:r>
        <w:rPr>
          <w:sz w:val="24"/>
          <w:szCs w:val="24"/>
        </w:rPr>
        <w:t>as</w:t>
      </w:r>
      <w:r w:rsidRPr="00D8676E">
        <w:rPr>
          <w:sz w:val="24"/>
          <w:szCs w:val="24"/>
        </w:rPr>
        <w:t xml:space="preserve"> reviewed during 2017, using all relevant current flood risk data and information, and agreed with Natural Resources Wales on </w:t>
      </w:r>
      <w:r>
        <w:rPr>
          <w:sz w:val="24"/>
          <w:szCs w:val="24"/>
        </w:rPr>
        <w:t>22nd</w:t>
      </w:r>
      <w:r w:rsidRPr="00D8676E">
        <w:rPr>
          <w:sz w:val="24"/>
          <w:szCs w:val="24"/>
        </w:rPr>
        <w:t xml:space="preserve"> December 2017.</w:t>
      </w:r>
    </w:p>
    <w:p w:rsidR="0031091F" w:rsidRPr="00D8676E" w:rsidRDefault="0031091F" w:rsidP="0031091F">
      <w:pPr>
        <w:pStyle w:val="Maintextblack"/>
        <w:spacing w:after="0" w:line="276" w:lineRule="auto"/>
        <w:jc w:val="both"/>
        <w:rPr>
          <w:sz w:val="24"/>
          <w:szCs w:val="24"/>
        </w:rPr>
      </w:pPr>
    </w:p>
    <w:p w:rsidR="0031091F" w:rsidRPr="00D8676E" w:rsidRDefault="0031091F" w:rsidP="0031091F">
      <w:pPr>
        <w:pStyle w:val="Maintextblack"/>
        <w:spacing w:after="0" w:line="276" w:lineRule="auto"/>
        <w:jc w:val="both"/>
        <w:rPr>
          <w:sz w:val="24"/>
          <w:szCs w:val="24"/>
        </w:rPr>
      </w:pPr>
      <w:r w:rsidRPr="00D8676E">
        <w:rPr>
          <w:sz w:val="24"/>
          <w:szCs w:val="24"/>
        </w:rPr>
        <w:t xml:space="preserve">The below statements describe the review of the assessment of risk since the preliminary assessment report was published in 2011. </w:t>
      </w:r>
    </w:p>
    <w:p w:rsidR="0031091F" w:rsidRPr="00D8676E" w:rsidRDefault="0031091F" w:rsidP="0031091F">
      <w:pPr>
        <w:pStyle w:val="Maintextblack"/>
        <w:spacing w:after="0" w:line="276" w:lineRule="auto"/>
        <w:jc w:val="both"/>
        <w:rPr>
          <w:sz w:val="24"/>
          <w:szCs w:val="24"/>
        </w:rPr>
      </w:pPr>
    </w:p>
    <w:p w:rsidR="0031091F" w:rsidRPr="00D8676E" w:rsidRDefault="0031091F" w:rsidP="0031091F">
      <w:pPr>
        <w:pStyle w:val="Maintextblack"/>
        <w:spacing w:after="0" w:line="276" w:lineRule="auto"/>
        <w:jc w:val="both"/>
        <w:rPr>
          <w:sz w:val="24"/>
          <w:szCs w:val="24"/>
        </w:rPr>
      </w:pPr>
    </w:p>
    <w:p w:rsidR="0031091F" w:rsidRPr="00D8676E" w:rsidRDefault="0031091F" w:rsidP="0031091F">
      <w:pPr>
        <w:pStyle w:val="Maintextblack"/>
        <w:spacing w:after="0" w:line="276" w:lineRule="auto"/>
        <w:jc w:val="both"/>
        <w:rPr>
          <w:rStyle w:val="Boldtextblack"/>
          <w:sz w:val="24"/>
          <w:szCs w:val="24"/>
        </w:rPr>
      </w:pPr>
      <w:r w:rsidRPr="00D8676E">
        <w:rPr>
          <w:rStyle w:val="Boldtextblack"/>
          <w:sz w:val="24"/>
          <w:szCs w:val="24"/>
        </w:rPr>
        <w:t>Past flood risk</w:t>
      </w:r>
    </w:p>
    <w:p w:rsidR="0031091F" w:rsidRDefault="0031091F" w:rsidP="0031091F">
      <w:pPr>
        <w:pStyle w:val="Maintextblack"/>
        <w:spacing w:after="0" w:line="276" w:lineRule="auto"/>
        <w:jc w:val="both"/>
        <w:rPr>
          <w:sz w:val="24"/>
          <w:szCs w:val="24"/>
        </w:rPr>
      </w:pPr>
    </w:p>
    <w:p w:rsidR="0031091F" w:rsidRPr="00D8676E" w:rsidRDefault="0031091F" w:rsidP="0031091F">
      <w:pPr>
        <w:pStyle w:val="Maintextblack"/>
        <w:spacing w:after="0" w:line="276" w:lineRule="auto"/>
        <w:jc w:val="both"/>
        <w:rPr>
          <w:sz w:val="24"/>
          <w:szCs w:val="24"/>
        </w:rPr>
      </w:pPr>
      <w:r w:rsidRPr="00D8676E">
        <w:rPr>
          <w:sz w:val="24"/>
          <w:szCs w:val="24"/>
        </w:rPr>
        <w:t>There has been a review of flooding experienced since the publication of the first Preliminary Flood Risk Assessment Report in 2011</w:t>
      </w:r>
      <w:r>
        <w:rPr>
          <w:sz w:val="24"/>
          <w:szCs w:val="24"/>
        </w:rPr>
        <w:t xml:space="preserve"> and this found that the following flood events led to locally significant harmful consequences: On 3</w:t>
      </w:r>
      <w:r w:rsidRPr="00560B7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September 2016 a significant rainfall event occurred in the Swansea Valley and surround area which resulted in 3 major flood events at 3 separate locations with 5 or more properties internally flooded at each of the locations.</w:t>
      </w:r>
    </w:p>
    <w:p w:rsidR="0031091F" w:rsidRPr="00D8676E" w:rsidRDefault="0031091F" w:rsidP="0031091F">
      <w:pPr>
        <w:pStyle w:val="Maintextblack"/>
        <w:spacing w:after="0" w:line="276" w:lineRule="auto"/>
        <w:jc w:val="both"/>
        <w:rPr>
          <w:sz w:val="24"/>
          <w:szCs w:val="24"/>
        </w:rPr>
      </w:pPr>
    </w:p>
    <w:p w:rsidR="0031091F" w:rsidRPr="00D8676E" w:rsidRDefault="0031091F" w:rsidP="0031091F">
      <w:pPr>
        <w:pStyle w:val="Maintextblack"/>
        <w:spacing w:after="0" w:line="276" w:lineRule="auto"/>
        <w:jc w:val="both"/>
        <w:rPr>
          <w:rStyle w:val="Boldtextblack"/>
          <w:sz w:val="24"/>
          <w:szCs w:val="24"/>
        </w:rPr>
      </w:pPr>
      <w:r w:rsidRPr="00D8676E">
        <w:rPr>
          <w:rStyle w:val="Boldtextblack"/>
          <w:sz w:val="24"/>
          <w:szCs w:val="24"/>
        </w:rPr>
        <w:t>Future flood risk</w:t>
      </w:r>
    </w:p>
    <w:p w:rsidR="0031091F" w:rsidRDefault="0031091F" w:rsidP="0031091F">
      <w:pPr>
        <w:pStyle w:val="Maintextblack"/>
        <w:spacing w:after="0" w:line="276" w:lineRule="auto"/>
        <w:jc w:val="both"/>
        <w:rPr>
          <w:sz w:val="24"/>
          <w:szCs w:val="24"/>
        </w:rPr>
      </w:pPr>
    </w:p>
    <w:p w:rsidR="0031091F" w:rsidRPr="00D8676E" w:rsidRDefault="0031091F" w:rsidP="0031091F">
      <w:pPr>
        <w:pStyle w:val="Maintextblack"/>
        <w:spacing w:after="0" w:line="276" w:lineRule="auto"/>
        <w:jc w:val="both"/>
        <w:rPr>
          <w:sz w:val="24"/>
          <w:szCs w:val="24"/>
        </w:rPr>
      </w:pPr>
      <w:r w:rsidRPr="00D8676E">
        <w:rPr>
          <w:sz w:val="24"/>
          <w:szCs w:val="24"/>
        </w:rPr>
        <w:t>There has been no new information identified since the publication of the first Preliminary Flood Risk Assessment Report in 2011 that has led to a change in understanding of future flood risk.</w:t>
      </w:r>
    </w:p>
    <w:p w:rsidR="0031091F" w:rsidRDefault="0031091F" w:rsidP="0031091F">
      <w:pPr>
        <w:pStyle w:val="Maintextblack"/>
        <w:spacing w:after="0" w:line="276" w:lineRule="auto"/>
        <w:jc w:val="both"/>
        <w:rPr>
          <w:sz w:val="24"/>
          <w:szCs w:val="24"/>
        </w:rPr>
      </w:pPr>
    </w:p>
    <w:p w:rsidR="0031091F" w:rsidRPr="00D8676E" w:rsidRDefault="0031091F" w:rsidP="0031091F">
      <w:pPr>
        <w:pStyle w:val="Maintextblack"/>
        <w:spacing w:after="0" w:line="276" w:lineRule="auto"/>
        <w:jc w:val="both"/>
        <w:rPr>
          <w:sz w:val="24"/>
          <w:szCs w:val="24"/>
        </w:rPr>
      </w:pPr>
    </w:p>
    <w:p w:rsidR="0031091F" w:rsidRPr="00D8676E" w:rsidRDefault="0031091F" w:rsidP="0031091F">
      <w:pPr>
        <w:pStyle w:val="Maintextblack"/>
        <w:spacing w:after="0" w:line="276" w:lineRule="auto"/>
        <w:jc w:val="both"/>
        <w:rPr>
          <w:rStyle w:val="Boldtextblack"/>
          <w:sz w:val="24"/>
          <w:szCs w:val="24"/>
        </w:rPr>
      </w:pPr>
      <w:r w:rsidRPr="00D8676E">
        <w:rPr>
          <w:rStyle w:val="Boldtextblack"/>
          <w:sz w:val="24"/>
          <w:szCs w:val="24"/>
        </w:rPr>
        <w:t xml:space="preserve">Flood risk areas (FRAs) </w:t>
      </w:r>
    </w:p>
    <w:p w:rsidR="00B22747" w:rsidRDefault="0031091F" w:rsidP="0031091F">
      <w:r w:rsidRPr="00D8676E">
        <w:t xml:space="preserve">The </w:t>
      </w:r>
      <w:r>
        <w:t xml:space="preserve">cycle 1 </w:t>
      </w:r>
      <w:r w:rsidRPr="00D8676E">
        <w:t xml:space="preserve">FRAs </w:t>
      </w:r>
      <w:r>
        <w:t>in Wales will be reviewed as part of a detailed consolidated PFRA that will cover all sources of flood risk by 22</w:t>
      </w:r>
      <w:r w:rsidRPr="00DB290B">
        <w:rPr>
          <w:vertAlign w:val="superscript"/>
        </w:rPr>
        <w:t>nd</w:t>
      </w:r>
      <w:r>
        <w:t xml:space="preserve"> December 2018.</w:t>
      </w:r>
    </w:p>
    <w:sectPr w:rsidR="00B227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1F"/>
    <w:rsid w:val="0031091F"/>
    <w:rsid w:val="005D4328"/>
    <w:rsid w:val="00B2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A371B-65CA-46E2-A3D3-6838F2DA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091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textblack">
    <w:name w:val="Main text black"/>
    <w:basedOn w:val="Normal"/>
    <w:qFormat/>
    <w:rsid w:val="0031091F"/>
    <w:pPr>
      <w:spacing w:after="120"/>
    </w:pPr>
    <w:rPr>
      <w:rFonts w:eastAsia="Arial" w:cs="Calibri"/>
      <w:sz w:val="22"/>
      <w:szCs w:val="22"/>
    </w:rPr>
  </w:style>
  <w:style w:type="character" w:customStyle="1" w:styleId="Boldtextblack">
    <w:name w:val="Bold text black"/>
    <w:basedOn w:val="DefaultParagraphFont"/>
    <w:uiPriority w:val="1"/>
    <w:qFormat/>
    <w:rsid w:val="0031091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Colman</dc:creator>
  <cp:keywords/>
  <dc:description/>
  <cp:lastModifiedBy>Jonathan Lewis</cp:lastModifiedBy>
  <cp:revision>2</cp:revision>
  <dcterms:created xsi:type="dcterms:W3CDTF">2018-01-09T15:58:00Z</dcterms:created>
  <dcterms:modified xsi:type="dcterms:W3CDTF">2018-01-09T15:58:00Z</dcterms:modified>
</cp:coreProperties>
</file>